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880" w:rsidRPr="00BE0AE9" w:rsidRDefault="004E1E45" w:rsidP="004E1E45">
      <w:pPr>
        <w:rPr>
          <w:sz w:val="60"/>
          <w:szCs w:val="60"/>
        </w:rPr>
      </w:pPr>
      <w:r w:rsidRPr="00BE0AE9">
        <w:rPr>
          <w:color w:val="244061" w:themeColor="accent1" w:themeShade="80"/>
          <w:sz w:val="60"/>
          <w:szCs w:val="60"/>
        </w:rPr>
        <w:t>Geological Exploration by Ground Penetrating Radar</w:t>
      </w:r>
    </w:p>
    <w:p w:rsidR="004E1E45" w:rsidRDefault="004E1E45" w:rsidP="004E1E45">
      <w:pPr>
        <w:rPr>
          <w:rFonts w:ascii="TradeGothic LT" w:hAnsi="TradeGothic LT"/>
        </w:rPr>
      </w:pPr>
      <w:r>
        <w:rPr>
          <w:rFonts w:ascii="TradeGothic LT" w:hAnsi="TradeGothic LT"/>
        </w:rPr>
        <w:t>...........................................................................................................................................</w:t>
      </w:r>
    </w:p>
    <w:p w:rsidR="004E1E45" w:rsidRPr="00BE0AE9" w:rsidRDefault="004E1E45" w:rsidP="004E1E45">
      <w:pPr>
        <w:rPr>
          <w:sz w:val="40"/>
          <w:szCs w:val="40"/>
        </w:rPr>
      </w:pPr>
      <w:r w:rsidRPr="00BE0AE9">
        <w:rPr>
          <w:color w:val="244061" w:themeColor="accent1" w:themeShade="80"/>
          <w:sz w:val="40"/>
          <w:szCs w:val="40"/>
        </w:rPr>
        <w:t>Overview</w:t>
      </w:r>
    </w:p>
    <w:p w:rsidR="004E1E45" w:rsidRPr="00BE0AE9" w:rsidRDefault="004E1E45" w:rsidP="004E1E45">
      <w:pPr>
        <w:jc w:val="both"/>
        <w:rPr>
          <w:sz w:val="18"/>
          <w:szCs w:val="18"/>
        </w:rPr>
      </w:pPr>
      <w:r w:rsidRPr="00BE0AE9">
        <w:rPr>
          <w:sz w:val="18"/>
          <w:szCs w:val="18"/>
        </w:rPr>
        <w:t xml:space="preserve">Exploration of natural resources buried under the earth surface is a well-known engineering activity. However, with the space exploration of planetary bodies, GPR technology promises to unravel the subsurface contents of extraterrestrial bodies. But to use it successfully, one needs to master the arts and sciences of microwave propagation, </w:t>
      </w:r>
      <w:proofErr w:type="spellStart"/>
      <w:r w:rsidRPr="00BE0AE9">
        <w:rPr>
          <w:sz w:val="18"/>
          <w:szCs w:val="18"/>
        </w:rPr>
        <w:t>ultrawideband</w:t>
      </w:r>
      <w:proofErr w:type="spellEnd"/>
      <w:r w:rsidRPr="00BE0AE9">
        <w:rPr>
          <w:sz w:val="18"/>
          <w:szCs w:val="18"/>
        </w:rPr>
        <w:t xml:space="preserve"> technique, radar principles and radar signal processing.  The course aims to take a step forward to unravel the mysteries of this fascinating technology.</w:t>
      </w:r>
    </w:p>
    <w:p w:rsidR="004E1E45" w:rsidRPr="00BE0AE9" w:rsidRDefault="004E1E45" w:rsidP="004E1E45">
      <w:pPr>
        <w:jc w:val="both"/>
        <w:rPr>
          <w:sz w:val="18"/>
          <w:szCs w:val="18"/>
        </w:rPr>
      </w:pPr>
      <w:r w:rsidRPr="00BE0AE9">
        <w:rPr>
          <w:sz w:val="18"/>
          <w:szCs w:val="18"/>
        </w:rPr>
        <w:t xml:space="preserve">This course is organized in two modules that should be taken together. The topics in Module A will expose the participants to the entire gamut </w:t>
      </w:r>
      <w:proofErr w:type="gramStart"/>
      <w:r w:rsidRPr="00BE0AE9">
        <w:rPr>
          <w:sz w:val="18"/>
          <w:szCs w:val="18"/>
        </w:rPr>
        <w:t>of  GPR</w:t>
      </w:r>
      <w:proofErr w:type="gramEnd"/>
      <w:r w:rsidRPr="00BE0AE9">
        <w:rPr>
          <w:sz w:val="18"/>
          <w:szCs w:val="18"/>
        </w:rPr>
        <w:t xml:space="preserve"> technology like Electromagnetic Properties of ground materials, GPR Antennas design, GPR Channel Modeling and simulation, GPR Systems design and GPR Signal Processing. In Module B, the Geophysical Exploration methodology with GPR is emphasized. The topics in the module include Planetary Geological Exploration, Subsurface Mine Detection, Regulatory and EMC constraints of GPR, Remote Sensing with SAR and exploration with the help of SAR imagery. </w:t>
      </w:r>
    </w:p>
    <w:p w:rsidR="004E1E45" w:rsidRPr="00BE0AE9" w:rsidRDefault="004E1E45" w:rsidP="00320324">
      <w:pPr>
        <w:rPr>
          <w:sz w:val="40"/>
          <w:szCs w:val="40"/>
        </w:rPr>
      </w:pPr>
      <w:r w:rsidRPr="00BE0AE9">
        <w:rPr>
          <w:sz w:val="18"/>
          <w:szCs w:val="18"/>
        </w:rPr>
        <w:t>Course participants will learn these topics through lectures and hands-on experiments. Also case studies and assignments will be shared to stimulate research motivation of participants.</w:t>
      </w:r>
    </w:p>
    <w:tbl>
      <w:tblPr>
        <w:tblStyle w:val="TableGrid"/>
        <w:tblW w:w="0" w:type="auto"/>
        <w:tblLook w:val="04A0"/>
      </w:tblPr>
      <w:tblGrid>
        <w:gridCol w:w="2088"/>
        <w:gridCol w:w="7488"/>
      </w:tblGrid>
      <w:tr w:rsidR="004E3CED" w:rsidTr="002D2FE5">
        <w:tc>
          <w:tcPr>
            <w:tcW w:w="2088" w:type="dxa"/>
            <w:shd w:val="clear" w:color="auto" w:fill="244061" w:themeFill="accent1" w:themeFillShade="80"/>
          </w:tcPr>
          <w:p w:rsidR="004E3CED" w:rsidRPr="00BE0AE9" w:rsidRDefault="004E3CED" w:rsidP="004E1E45">
            <w:pPr>
              <w:jc w:val="both"/>
              <w:rPr>
                <w:b/>
                <w:sz w:val="24"/>
                <w:szCs w:val="24"/>
              </w:rPr>
            </w:pPr>
            <w:r w:rsidRPr="00BE0AE9">
              <w:rPr>
                <w:b/>
                <w:sz w:val="24"/>
                <w:szCs w:val="24"/>
              </w:rPr>
              <w:t>Modules</w:t>
            </w:r>
          </w:p>
        </w:tc>
        <w:tc>
          <w:tcPr>
            <w:tcW w:w="7488" w:type="dxa"/>
          </w:tcPr>
          <w:p w:rsidR="004E3CED" w:rsidRPr="00BE0AE9" w:rsidRDefault="004E3CED" w:rsidP="004E3CED">
            <w:pPr>
              <w:tabs>
                <w:tab w:val="left" w:pos="432"/>
                <w:tab w:val="left" w:pos="3042"/>
                <w:tab w:val="left" w:pos="3402"/>
              </w:tabs>
              <w:jc w:val="both"/>
              <w:rPr>
                <w:b/>
                <w:sz w:val="18"/>
                <w:szCs w:val="18"/>
              </w:rPr>
            </w:pPr>
            <w:r w:rsidRPr="00BE0AE9">
              <w:rPr>
                <w:b/>
                <w:sz w:val="18"/>
                <w:szCs w:val="18"/>
              </w:rPr>
              <w:t>A:</w:t>
            </w:r>
            <w:r w:rsidRPr="00BE0AE9">
              <w:rPr>
                <w:b/>
                <w:sz w:val="18"/>
                <w:szCs w:val="18"/>
              </w:rPr>
              <w:tab/>
              <w:t>GPR Technology</w:t>
            </w:r>
            <w:r w:rsidRPr="00BE0AE9">
              <w:rPr>
                <w:b/>
                <w:sz w:val="18"/>
                <w:szCs w:val="18"/>
              </w:rPr>
              <w:tab/>
              <w:t>:</w:t>
            </w:r>
            <w:r w:rsidRPr="00BE0AE9">
              <w:rPr>
                <w:b/>
                <w:sz w:val="18"/>
                <w:szCs w:val="18"/>
              </w:rPr>
              <w:tab/>
              <w:t>May 12 - May 17</w:t>
            </w:r>
          </w:p>
          <w:p w:rsidR="004E3CED" w:rsidRPr="00BE0AE9" w:rsidRDefault="004E3CED" w:rsidP="004E3CED">
            <w:pPr>
              <w:tabs>
                <w:tab w:val="left" w:pos="432"/>
                <w:tab w:val="left" w:pos="3042"/>
                <w:tab w:val="left" w:pos="3402"/>
              </w:tabs>
              <w:jc w:val="both"/>
              <w:rPr>
                <w:b/>
                <w:sz w:val="18"/>
                <w:szCs w:val="18"/>
              </w:rPr>
            </w:pPr>
            <w:r w:rsidRPr="00BE0AE9">
              <w:rPr>
                <w:b/>
                <w:sz w:val="18"/>
                <w:szCs w:val="18"/>
              </w:rPr>
              <w:t>B:</w:t>
            </w:r>
            <w:r w:rsidRPr="00BE0AE9">
              <w:rPr>
                <w:b/>
                <w:sz w:val="18"/>
                <w:szCs w:val="18"/>
              </w:rPr>
              <w:tab/>
              <w:t>Geophysical Exploration by GPR</w:t>
            </w:r>
            <w:r w:rsidRPr="00BE0AE9">
              <w:rPr>
                <w:b/>
                <w:sz w:val="18"/>
                <w:szCs w:val="18"/>
              </w:rPr>
              <w:tab/>
              <w:t>:</w:t>
            </w:r>
            <w:r w:rsidRPr="00BE0AE9">
              <w:rPr>
                <w:b/>
                <w:sz w:val="18"/>
                <w:szCs w:val="18"/>
              </w:rPr>
              <w:tab/>
              <w:t>May 19 - May 23</w:t>
            </w:r>
          </w:p>
          <w:p w:rsidR="004E3CED" w:rsidRPr="00BE0AE9" w:rsidRDefault="004E3CED" w:rsidP="004E3CED">
            <w:pPr>
              <w:jc w:val="both"/>
              <w:rPr>
                <w:sz w:val="18"/>
                <w:szCs w:val="18"/>
              </w:rPr>
            </w:pPr>
            <w:r w:rsidRPr="00BE0AE9">
              <w:rPr>
                <w:b/>
                <w:sz w:val="18"/>
                <w:szCs w:val="18"/>
              </w:rPr>
              <w:t>Number of participants for the course will be limited to fifty.</w:t>
            </w:r>
          </w:p>
        </w:tc>
      </w:tr>
      <w:tr w:rsidR="004E3CED" w:rsidTr="002D2FE5">
        <w:tc>
          <w:tcPr>
            <w:tcW w:w="2088" w:type="dxa"/>
            <w:shd w:val="clear" w:color="auto" w:fill="244061" w:themeFill="accent1" w:themeFillShade="80"/>
          </w:tcPr>
          <w:p w:rsidR="004E3CED" w:rsidRPr="00BE0AE9" w:rsidRDefault="004E3CED" w:rsidP="004E3CED">
            <w:pPr>
              <w:jc w:val="both"/>
              <w:rPr>
                <w:b/>
                <w:sz w:val="24"/>
                <w:szCs w:val="24"/>
              </w:rPr>
            </w:pPr>
            <w:r w:rsidRPr="00BE0AE9">
              <w:rPr>
                <w:b/>
                <w:sz w:val="24"/>
                <w:szCs w:val="24"/>
              </w:rPr>
              <w:t>You Should</w:t>
            </w:r>
          </w:p>
          <w:p w:rsidR="004E3CED" w:rsidRPr="00BE0AE9" w:rsidRDefault="004E3CED" w:rsidP="004E3CED">
            <w:pPr>
              <w:jc w:val="both"/>
              <w:rPr>
                <w:sz w:val="18"/>
                <w:szCs w:val="18"/>
              </w:rPr>
            </w:pPr>
            <w:r w:rsidRPr="00BE0AE9">
              <w:rPr>
                <w:b/>
                <w:sz w:val="24"/>
                <w:szCs w:val="24"/>
              </w:rPr>
              <w:t>Attend If…</w:t>
            </w:r>
          </w:p>
        </w:tc>
        <w:tc>
          <w:tcPr>
            <w:tcW w:w="7488" w:type="dxa"/>
          </w:tcPr>
          <w:p w:rsidR="004E3CED" w:rsidRPr="00BE0AE9" w:rsidRDefault="004E3CED" w:rsidP="004E3CED">
            <w:pPr>
              <w:pStyle w:val="ListParagraph"/>
              <w:numPr>
                <w:ilvl w:val="0"/>
                <w:numId w:val="2"/>
              </w:numPr>
              <w:ind w:left="432" w:hanging="432"/>
              <w:jc w:val="both"/>
              <w:rPr>
                <w:sz w:val="18"/>
                <w:szCs w:val="18"/>
              </w:rPr>
            </w:pPr>
            <w:proofErr w:type="gramStart"/>
            <w:r w:rsidRPr="00BE0AE9">
              <w:rPr>
                <w:sz w:val="18"/>
                <w:szCs w:val="18"/>
              </w:rPr>
              <w:t>you</w:t>
            </w:r>
            <w:proofErr w:type="gramEnd"/>
            <w:r w:rsidRPr="00BE0AE9">
              <w:rPr>
                <w:sz w:val="18"/>
                <w:szCs w:val="18"/>
              </w:rPr>
              <w:t xml:space="preserve"> are an electronics engineer or research scientist interested in designing ground penetrating radar and processing of microwave images for exploration.</w:t>
            </w:r>
          </w:p>
          <w:p w:rsidR="004E3CED" w:rsidRPr="00BE0AE9" w:rsidRDefault="004E3CED" w:rsidP="004E3CED">
            <w:pPr>
              <w:pStyle w:val="ListParagraph"/>
              <w:numPr>
                <w:ilvl w:val="0"/>
                <w:numId w:val="2"/>
              </w:numPr>
              <w:ind w:left="432" w:hanging="432"/>
              <w:jc w:val="both"/>
              <w:rPr>
                <w:sz w:val="18"/>
                <w:szCs w:val="18"/>
              </w:rPr>
            </w:pPr>
            <w:proofErr w:type="gramStart"/>
            <w:r w:rsidRPr="00BE0AE9">
              <w:rPr>
                <w:sz w:val="18"/>
                <w:szCs w:val="18"/>
              </w:rPr>
              <w:t>you</w:t>
            </w:r>
            <w:proofErr w:type="gramEnd"/>
            <w:r w:rsidRPr="00BE0AE9">
              <w:rPr>
                <w:sz w:val="18"/>
                <w:szCs w:val="18"/>
              </w:rPr>
              <w:t xml:space="preserve"> are  geologist or geophysicist or non-destructive test engineer interested to learn application of GPR in your profession.</w:t>
            </w:r>
          </w:p>
          <w:p w:rsidR="004E3CED" w:rsidRPr="00BE0AE9" w:rsidRDefault="004E3CED" w:rsidP="004E3CED">
            <w:pPr>
              <w:pStyle w:val="ListParagraph"/>
              <w:numPr>
                <w:ilvl w:val="0"/>
                <w:numId w:val="2"/>
              </w:numPr>
              <w:ind w:left="432" w:hanging="432"/>
              <w:jc w:val="both"/>
              <w:rPr>
                <w:sz w:val="18"/>
                <w:szCs w:val="18"/>
              </w:rPr>
            </w:pPr>
            <w:proofErr w:type="gramStart"/>
            <w:r w:rsidRPr="00BE0AE9">
              <w:rPr>
                <w:sz w:val="18"/>
                <w:szCs w:val="18"/>
              </w:rPr>
              <w:t>you</w:t>
            </w:r>
            <w:proofErr w:type="gramEnd"/>
            <w:r w:rsidRPr="00BE0AE9">
              <w:rPr>
                <w:sz w:val="18"/>
                <w:szCs w:val="18"/>
              </w:rPr>
              <w:t xml:space="preserve"> are a student  or faculty  from academic  institution  interested in learning how to do research on GPR system or subsystem or want to work with GPR  imagery for geological interpretation.</w:t>
            </w:r>
          </w:p>
        </w:tc>
      </w:tr>
      <w:tr w:rsidR="004E3CED" w:rsidTr="002D2FE5">
        <w:tc>
          <w:tcPr>
            <w:tcW w:w="2088" w:type="dxa"/>
            <w:shd w:val="clear" w:color="auto" w:fill="244061" w:themeFill="accent1" w:themeFillShade="80"/>
          </w:tcPr>
          <w:p w:rsidR="004E3CED" w:rsidRPr="00BE0AE9" w:rsidRDefault="002D2FE5" w:rsidP="004E1E45">
            <w:pPr>
              <w:jc w:val="both"/>
              <w:rPr>
                <w:b/>
                <w:sz w:val="24"/>
                <w:szCs w:val="24"/>
              </w:rPr>
            </w:pPr>
            <w:r w:rsidRPr="00BE0AE9">
              <w:rPr>
                <w:b/>
                <w:sz w:val="24"/>
                <w:szCs w:val="24"/>
              </w:rPr>
              <w:t>Fees</w:t>
            </w:r>
          </w:p>
        </w:tc>
        <w:tc>
          <w:tcPr>
            <w:tcW w:w="7488" w:type="dxa"/>
          </w:tcPr>
          <w:p w:rsidR="002D2FE5" w:rsidRPr="00BE0AE9" w:rsidRDefault="002D2FE5" w:rsidP="002D2FE5">
            <w:pPr>
              <w:jc w:val="both"/>
              <w:rPr>
                <w:sz w:val="18"/>
                <w:szCs w:val="18"/>
              </w:rPr>
            </w:pPr>
            <w:r w:rsidRPr="00BE0AE9">
              <w:rPr>
                <w:sz w:val="18"/>
                <w:szCs w:val="18"/>
              </w:rPr>
              <w:t>The participation fees for taking the course is as follows:</w:t>
            </w:r>
          </w:p>
          <w:p w:rsidR="002D2FE5" w:rsidRPr="00BE0AE9" w:rsidRDefault="002D2FE5" w:rsidP="002D2FE5">
            <w:pPr>
              <w:jc w:val="both"/>
              <w:rPr>
                <w:b/>
                <w:sz w:val="18"/>
                <w:szCs w:val="18"/>
              </w:rPr>
            </w:pPr>
            <w:r w:rsidRPr="00BE0AE9">
              <w:rPr>
                <w:b/>
                <w:sz w:val="18"/>
                <w:szCs w:val="18"/>
              </w:rPr>
              <w:t>Participants from abroad : US $500</w:t>
            </w:r>
          </w:p>
          <w:p w:rsidR="002D2FE5" w:rsidRPr="00BE0AE9" w:rsidRDefault="002D2FE5" w:rsidP="002D2FE5">
            <w:pPr>
              <w:jc w:val="both"/>
              <w:rPr>
                <w:b/>
                <w:sz w:val="18"/>
                <w:szCs w:val="18"/>
              </w:rPr>
            </w:pPr>
            <w:r w:rsidRPr="00BE0AE9">
              <w:rPr>
                <w:b/>
                <w:sz w:val="18"/>
                <w:szCs w:val="18"/>
              </w:rPr>
              <w:t>Industry/ Research Organizations: ` 30000</w:t>
            </w:r>
          </w:p>
          <w:p w:rsidR="002D2FE5" w:rsidRPr="00BE0AE9" w:rsidRDefault="002D2FE5" w:rsidP="002D2FE5">
            <w:pPr>
              <w:jc w:val="both"/>
              <w:rPr>
                <w:b/>
                <w:sz w:val="18"/>
                <w:szCs w:val="18"/>
              </w:rPr>
            </w:pPr>
            <w:r w:rsidRPr="00BE0AE9">
              <w:rPr>
                <w:b/>
                <w:sz w:val="18"/>
                <w:szCs w:val="18"/>
              </w:rPr>
              <w:t>Academic Institutions: ` 10000</w:t>
            </w:r>
          </w:p>
          <w:p w:rsidR="004E3CED" w:rsidRPr="00BE0AE9" w:rsidRDefault="002D2FE5" w:rsidP="002D2FE5">
            <w:pPr>
              <w:jc w:val="both"/>
              <w:rPr>
                <w:sz w:val="18"/>
                <w:szCs w:val="18"/>
              </w:rPr>
            </w:pPr>
            <w:r w:rsidRPr="00BE0AE9">
              <w:rPr>
                <w:sz w:val="18"/>
                <w:szCs w:val="18"/>
              </w:rPr>
              <w:t>The above fee include all instructional materials, computer use for tutorials and assignments, laboratory equipment usage charges, 24 hr free internet facility. The participants will be provided with accommodation on payment basis.</w:t>
            </w:r>
          </w:p>
        </w:tc>
      </w:tr>
    </w:tbl>
    <w:p w:rsidR="004E3CED" w:rsidRDefault="004E3CED" w:rsidP="004E1E45">
      <w:pPr>
        <w:jc w:val="both"/>
        <w:rPr>
          <w:rFonts w:ascii="TradeGothic LT" w:hAnsi="TradeGothic LT"/>
          <w:sz w:val="18"/>
          <w:szCs w:val="18"/>
        </w:rPr>
      </w:pPr>
    </w:p>
    <w:p w:rsidR="00245599" w:rsidRDefault="00245599" w:rsidP="004E1E45">
      <w:pPr>
        <w:jc w:val="both"/>
        <w:rPr>
          <w:rFonts w:ascii="TradeGothic LT" w:hAnsi="TradeGothic LT"/>
          <w:sz w:val="18"/>
          <w:szCs w:val="18"/>
        </w:rPr>
      </w:pPr>
    </w:p>
    <w:p w:rsidR="00245599" w:rsidRDefault="00245599" w:rsidP="004E1E45">
      <w:pPr>
        <w:jc w:val="both"/>
        <w:rPr>
          <w:rFonts w:ascii="TradeGothic LT" w:hAnsi="TradeGothic LT"/>
          <w:sz w:val="18"/>
          <w:szCs w:val="18"/>
        </w:rPr>
      </w:pPr>
    </w:p>
    <w:p w:rsidR="00245599" w:rsidRDefault="00245599" w:rsidP="004E1E45">
      <w:pPr>
        <w:jc w:val="both"/>
        <w:rPr>
          <w:rFonts w:ascii="TradeGothic LT" w:hAnsi="TradeGothic LT"/>
          <w:sz w:val="18"/>
          <w:szCs w:val="18"/>
        </w:rPr>
      </w:pPr>
    </w:p>
    <w:p w:rsidR="00245599" w:rsidRPr="00BE0AE9" w:rsidRDefault="009B4C81" w:rsidP="004E1E45">
      <w:pPr>
        <w:jc w:val="both"/>
        <w:rPr>
          <w:color w:val="215868" w:themeColor="accent5" w:themeShade="80"/>
          <w:sz w:val="40"/>
          <w:szCs w:val="40"/>
        </w:rPr>
      </w:pPr>
      <w:r w:rsidRPr="009B4C81">
        <w:rPr>
          <w:noProof/>
          <w:color w:val="215868" w:themeColor="accent5" w:themeShade="80"/>
          <w:sz w:val="18"/>
          <w:szCs w:val="18"/>
          <w:lang w:eastAsia="zh-TW"/>
        </w:rPr>
        <w:lastRenderedPageBreak/>
        <w:pict>
          <v:rect id="_x0000_s1027" style="position:absolute;left:0;text-align:left;margin-left:336.95pt;margin-top:1in;width:214.15pt;height:9in;flip:x;z-index:251662336;mso-width-percent:350;mso-height-percent:1000;mso-wrap-distance-top:7.2pt;mso-wrap-distance-bottom:7.2pt;mso-position-horizontal-relative:page;mso-position-vertical-relative:page;mso-width-percent:350;mso-height-percent:1000;mso-height-relative:margin" o:allowincell="f" fillcolor="#243f60 [1604]" stroked="f" strokecolor="black [3213]" strokeweight="1.5pt">
            <v:shadow color="#f79646 [3209]" opacity=".5" offset="-15pt,0" offset2="-18pt,12pt"/>
            <v:textbox style="mso-next-textbox:#_x0000_s1027" inset="21.6pt,21.6pt,21.6pt,21.6pt">
              <w:txbxContent>
                <w:p w:rsidR="00F675E8" w:rsidRPr="00BE0AE9" w:rsidRDefault="00F675E8" w:rsidP="00947662">
                  <w:pPr>
                    <w:rPr>
                      <w:color w:val="FFFFFF" w:themeColor="background1"/>
                      <w:sz w:val="40"/>
                      <w:szCs w:val="40"/>
                    </w:rPr>
                  </w:pPr>
                </w:p>
                <w:p w:rsidR="00F675E8" w:rsidRPr="00BE0AE9" w:rsidRDefault="00F675E8" w:rsidP="00947662">
                  <w:pPr>
                    <w:rPr>
                      <w:color w:val="FFFFFF" w:themeColor="background1"/>
                      <w:sz w:val="40"/>
                      <w:szCs w:val="40"/>
                    </w:rPr>
                  </w:pPr>
                </w:p>
                <w:p w:rsidR="00F675E8" w:rsidRPr="00BE0AE9" w:rsidRDefault="00F675E8" w:rsidP="00947662">
                  <w:pPr>
                    <w:rPr>
                      <w:color w:val="FFFFFF" w:themeColor="background1"/>
                      <w:sz w:val="40"/>
                      <w:szCs w:val="40"/>
                    </w:rPr>
                  </w:pPr>
                </w:p>
                <w:p w:rsidR="00F675E8" w:rsidRPr="00BE0AE9" w:rsidRDefault="00F675E8" w:rsidP="00947662">
                  <w:pPr>
                    <w:rPr>
                      <w:color w:val="FFFFFF" w:themeColor="background1"/>
                      <w:sz w:val="40"/>
                      <w:szCs w:val="40"/>
                    </w:rPr>
                  </w:pPr>
                </w:p>
                <w:p w:rsidR="00F675E8" w:rsidRPr="00BE0AE9" w:rsidRDefault="00F675E8" w:rsidP="00947662">
                  <w:pPr>
                    <w:rPr>
                      <w:color w:val="FFFFFF" w:themeColor="background1"/>
                      <w:sz w:val="40"/>
                      <w:szCs w:val="40"/>
                    </w:rPr>
                  </w:pPr>
                </w:p>
                <w:p w:rsidR="00F675E8" w:rsidRPr="00BE0AE9" w:rsidRDefault="00F675E8" w:rsidP="00947662">
                  <w:pPr>
                    <w:rPr>
                      <w:color w:val="FFFFFF" w:themeColor="background1"/>
                      <w:sz w:val="40"/>
                      <w:szCs w:val="40"/>
                    </w:rPr>
                  </w:pPr>
                </w:p>
                <w:p w:rsidR="00F675E8" w:rsidRPr="00BE0AE9" w:rsidRDefault="00F675E8" w:rsidP="00947662">
                  <w:pPr>
                    <w:rPr>
                      <w:color w:val="FFFFFF" w:themeColor="background1"/>
                      <w:sz w:val="40"/>
                      <w:szCs w:val="40"/>
                    </w:rPr>
                  </w:pPr>
                </w:p>
                <w:p w:rsidR="00F675E8" w:rsidRPr="00BE0AE9" w:rsidRDefault="00F675E8" w:rsidP="00947662">
                  <w:pPr>
                    <w:rPr>
                      <w:color w:val="FFFFFF" w:themeColor="background1"/>
                      <w:sz w:val="40"/>
                      <w:szCs w:val="40"/>
                    </w:rPr>
                  </w:pPr>
                </w:p>
                <w:p w:rsidR="00F675E8" w:rsidRPr="00BE0AE9" w:rsidRDefault="00F675E8" w:rsidP="00947662">
                  <w:pPr>
                    <w:rPr>
                      <w:color w:val="FFFFFF" w:themeColor="background1"/>
                      <w:sz w:val="40"/>
                      <w:szCs w:val="40"/>
                    </w:rPr>
                  </w:pPr>
                </w:p>
                <w:p w:rsidR="00F675E8" w:rsidRPr="00BE0AE9" w:rsidRDefault="00F675E8" w:rsidP="00947662">
                  <w:pPr>
                    <w:rPr>
                      <w:color w:val="FFFFFF" w:themeColor="background1"/>
                      <w:sz w:val="40"/>
                      <w:szCs w:val="40"/>
                    </w:rPr>
                  </w:pPr>
                </w:p>
                <w:p w:rsidR="00F675E8" w:rsidRPr="00BE0AE9" w:rsidRDefault="00F675E8" w:rsidP="00947662">
                  <w:pPr>
                    <w:rPr>
                      <w:color w:val="FFFFFF" w:themeColor="background1"/>
                      <w:sz w:val="40"/>
                      <w:szCs w:val="40"/>
                    </w:rPr>
                  </w:pPr>
                </w:p>
                <w:p w:rsidR="00F675E8" w:rsidRPr="00BE0AE9" w:rsidRDefault="00F675E8" w:rsidP="00947662">
                  <w:pPr>
                    <w:rPr>
                      <w:color w:val="FFFFFF" w:themeColor="background1"/>
                      <w:sz w:val="40"/>
                      <w:szCs w:val="40"/>
                    </w:rPr>
                  </w:pPr>
                </w:p>
                <w:p w:rsidR="00947662" w:rsidRPr="00BE0AE9" w:rsidRDefault="00947662" w:rsidP="00947662">
                  <w:pPr>
                    <w:rPr>
                      <w:color w:val="FFFFFF" w:themeColor="background1"/>
                      <w:sz w:val="40"/>
                      <w:szCs w:val="40"/>
                    </w:rPr>
                  </w:pPr>
                  <w:r w:rsidRPr="00BE0AE9">
                    <w:rPr>
                      <w:color w:val="FFFFFF" w:themeColor="background1"/>
                      <w:sz w:val="40"/>
                      <w:szCs w:val="40"/>
                    </w:rPr>
                    <w:t>Course Co-</w:t>
                  </w:r>
                  <w:proofErr w:type="spellStart"/>
                  <w:r w:rsidRPr="00BE0AE9">
                    <w:rPr>
                      <w:color w:val="FFFFFF" w:themeColor="background1"/>
                      <w:sz w:val="40"/>
                      <w:szCs w:val="40"/>
                    </w:rPr>
                    <w:t>ordinator</w:t>
                  </w:r>
                  <w:proofErr w:type="spellEnd"/>
                </w:p>
                <w:p w:rsidR="00947662" w:rsidRPr="00BE0AE9" w:rsidRDefault="00947662" w:rsidP="00947662">
                  <w:pPr>
                    <w:spacing w:after="0" w:line="240" w:lineRule="auto"/>
                    <w:rPr>
                      <w:b/>
                      <w:color w:val="FFFFFF" w:themeColor="background1"/>
                      <w:sz w:val="18"/>
                      <w:szCs w:val="18"/>
                    </w:rPr>
                  </w:pPr>
                  <w:r w:rsidRPr="00BE0AE9">
                    <w:rPr>
                      <w:b/>
                      <w:color w:val="FFFFFF" w:themeColor="background1"/>
                      <w:sz w:val="18"/>
                      <w:szCs w:val="18"/>
                    </w:rPr>
                    <w:t xml:space="preserve">Prof. </w:t>
                  </w:r>
                  <w:proofErr w:type="spellStart"/>
                  <w:r w:rsidRPr="00BE0AE9">
                    <w:rPr>
                      <w:b/>
                      <w:color w:val="FFFFFF" w:themeColor="background1"/>
                      <w:sz w:val="18"/>
                      <w:szCs w:val="18"/>
                    </w:rPr>
                    <w:t>Amitabha</w:t>
                  </w:r>
                  <w:proofErr w:type="spellEnd"/>
                  <w:r w:rsidRPr="00BE0AE9">
                    <w:rPr>
                      <w:b/>
                      <w:color w:val="FFFFFF" w:themeColor="background1"/>
                      <w:sz w:val="18"/>
                      <w:szCs w:val="18"/>
                    </w:rPr>
                    <w:t xml:space="preserve"> Bhattacharya</w:t>
                  </w:r>
                </w:p>
                <w:p w:rsidR="00947662" w:rsidRPr="00BE0AE9" w:rsidRDefault="00947662" w:rsidP="00947662">
                  <w:pPr>
                    <w:spacing w:after="0" w:line="240" w:lineRule="auto"/>
                    <w:rPr>
                      <w:color w:val="FFFFFF" w:themeColor="background1"/>
                      <w:sz w:val="18"/>
                      <w:szCs w:val="18"/>
                    </w:rPr>
                  </w:pPr>
                  <w:r w:rsidRPr="00BE0AE9">
                    <w:rPr>
                      <w:color w:val="FFFFFF" w:themeColor="background1"/>
                      <w:sz w:val="18"/>
                      <w:szCs w:val="18"/>
                    </w:rPr>
                    <w:t>Phone: 03222-283526</w:t>
                  </w:r>
                </w:p>
                <w:p w:rsidR="00947662" w:rsidRPr="00BE0AE9" w:rsidRDefault="00947662" w:rsidP="00947662">
                  <w:pPr>
                    <w:spacing w:after="0" w:line="240" w:lineRule="auto"/>
                    <w:rPr>
                      <w:color w:val="FFFFFF" w:themeColor="background1"/>
                      <w:sz w:val="18"/>
                      <w:szCs w:val="18"/>
                    </w:rPr>
                  </w:pPr>
                  <w:r w:rsidRPr="00BE0AE9">
                    <w:rPr>
                      <w:color w:val="FFFFFF" w:themeColor="background1"/>
                      <w:sz w:val="18"/>
                      <w:szCs w:val="18"/>
                    </w:rPr>
                    <w:t>E-mail: amitabha@ece.iitkgp.ernet.in</w:t>
                  </w:r>
                </w:p>
                <w:p w:rsidR="00F675E8" w:rsidRPr="00BE0AE9" w:rsidRDefault="00F675E8" w:rsidP="00947662">
                  <w:pPr>
                    <w:spacing w:after="0" w:line="240" w:lineRule="auto"/>
                    <w:rPr>
                      <w:color w:val="FFFFFF" w:themeColor="background1"/>
                      <w:sz w:val="18"/>
                      <w:szCs w:val="18"/>
                    </w:rPr>
                  </w:pPr>
                </w:p>
                <w:p w:rsidR="00F675E8" w:rsidRPr="00BE0AE9" w:rsidRDefault="00F675E8" w:rsidP="00947662">
                  <w:pPr>
                    <w:spacing w:after="0" w:line="240" w:lineRule="auto"/>
                    <w:rPr>
                      <w:color w:val="FFFFFF" w:themeColor="background1"/>
                      <w:sz w:val="18"/>
                      <w:szCs w:val="18"/>
                    </w:rPr>
                  </w:pPr>
                  <w:r w:rsidRPr="00BE0AE9">
                    <w:rPr>
                      <w:color w:val="FFFFFF" w:themeColor="background1"/>
                      <w:sz w:val="18"/>
                      <w:szCs w:val="18"/>
                    </w:rPr>
                    <w:t>...........................................................................</w:t>
                  </w:r>
                </w:p>
                <w:p w:rsidR="00F675E8" w:rsidRPr="00BE0AE9" w:rsidRDefault="00F675E8" w:rsidP="00947662">
                  <w:pPr>
                    <w:spacing w:after="0" w:line="240" w:lineRule="auto"/>
                    <w:rPr>
                      <w:color w:val="FFFFFF" w:themeColor="background1"/>
                      <w:sz w:val="18"/>
                      <w:szCs w:val="18"/>
                    </w:rPr>
                  </w:pPr>
                </w:p>
                <w:p w:rsidR="00947662" w:rsidRPr="00BE0AE9" w:rsidRDefault="00947662" w:rsidP="00947662">
                  <w:pPr>
                    <w:spacing w:after="0" w:line="240" w:lineRule="auto"/>
                    <w:rPr>
                      <w:color w:val="FFFFFF" w:themeColor="background1"/>
                      <w:sz w:val="18"/>
                      <w:szCs w:val="18"/>
                    </w:rPr>
                  </w:pPr>
                  <w:r w:rsidRPr="00BE0AE9">
                    <w:rPr>
                      <w:color w:val="FFFFFF" w:themeColor="background1"/>
                      <w:sz w:val="18"/>
                      <w:szCs w:val="18"/>
                    </w:rPr>
                    <w:t>http://www.</w:t>
                  </w:r>
                  <w:r w:rsidR="00BA175F">
                    <w:rPr>
                      <w:color w:val="FFFFFF" w:themeColor="background1"/>
                      <w:sz w:val="18"/>
                      <w:szCs w:val="18"/>
                    </w:rPr>
                    <w:t>gian.iitkgp.ac.in/GREGN</w:t>
                  </w:r>
                </w:p>
              </w:txbxContent>
            </v:textbox>
            <w10:wrap type="square" anchorx="page" anchory="page"/>
          </v:rect>
        </w:pict>
      </w:r>
      <w:r w:rsidR="00245599" w:rsidRPr="00BE0AE9">
        <w:rPr>
          <w:color w:val="215868" w:themeColor="accent5" w:themeShade="80"/>
          <w:sz w:val="40"/>
          <w:szCs w:val="40"/>
        </w:rPr>
        <w:t>The Faculty</w:t>
      </w:r>
    </w:p>
    <w:p w:rsidR="00245599" w:rsidRPr="00BE0AE9" w:rsidRDefault="00D111A1" w:rsidP="00245599">
      <w:pPr>
        <w:jc w:val="both"/>
        <w:rPr>
          <w:sz w:val="18"/>
          <w:szCs w:val="18"/>
        </w:rPr>
      </w:pPr>
      <w:r w:rsidRPr="00BE0AE9">
        <w:rPr>
          <w:b/>
          <w:noProof/>
          <w:sz w:val="18"/>
          <w:szCs w:val="18"/>
        </w:rPr>
        <w:drawing>
          <wp:anchor distT="0" distB="0" distL="114300" distR="114300" simplePos="0" relativeHeight="251658240" behindDoc="0" locked="0" layoutInCell="1" allowOverlap="1">
            <wp:simplePos x="0" y="0"/>
            <wp:positionH relativeFrom="column">
              <wp:posOffset>20955</wp:posOffset>
            </wp:positionH>
            <wp:positionV relativeFrom="paragraph">
              <wp:posOffset>3810</wp:posOffset>
            </wp:positionV>
            <wp:extent cx="593090" cy="64389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3090" cy="643890"/>
                    </a:xfrm>
                    <a:prstGeom prst="rect">
                      <a:avLst/>
                    </a:prstGeom>
                    <a:noFill/>
                    <a:ln w="9525">
                      <a:noFill/>
                      <a:miter lim="800000"/>
                      <a:headEnd/>
                      <a:tailEnd/>
                    </a:ln>
                  </pic:spPr>
                </pic:pic>
              </a:graphicData>
            </a:graphic>
          </wp:anchor>
        </w:drawing>
      </w:r>
      <w:r w:rsidR="00245599" w:rsidRPr="00BE0AE9">
        <w:rPr>
          <w:b/>
          <w:sz w:val="18"/>
          <w:szCs w:val="18"/>
        </w:rPr>
        <w:t xml:space="preserve">Prof. </w:t>
      </w:r>
      <w:proofErr w:type="spellStart"/>
      <w:r w:rsidR="00245599" w:rsidRPr="00BE0AE9">
        <w:rPr>
          <w:b/>
          <w:sz w:val="18"/>
          <w:szCs w:val="18"/>
        </w:rPr>
        <w:t>Sébastien</w:t>
      </w:r>
      <w:proofErr w:type="spellEnd"/>
      <w:r w:rsidR="00245599" w:rsidRPr="00BE0AE9">
        <w:rPr>
          <w:b/>
          <w:sz w:val="18"/>
          <w:szCs w:val="18"/>
        </w:rPr>
        <w:t xml:space="preserve"> </w:t>
      </w:r>
      <w:proofErr w:type="spellStart"/>
      <w:r w:rsidR="00245599" w:rsidRPr="00BE0AE9">
        <w:rPr>
          <w:b/>
          <w:sz w:val="18"/>
          <w:szCs w:val="18"/>
        </w:rPr>
        <w:t>Lambot</w:t>
      </w:r>
      <w:proofErr w:type="spellEnd"/>
      <w:r w:rsidR="00245599" w:rsidRPr="00BE0AE9">
        <w:rPr>
          <w:sz w:val="18"/>
          <w:szCs w:val="18"/>
        </w:rPr>
        <w:t xml:space="preserve"> is in the faculty of </w:t>
      </w:r>
      <w:proofErr w:type="spellStart"/>
      <w:r w:rsidR="00245599" w:rsidRPr="00BE0AE9">
        <w:rPr>
          <w:sz w:val="18"/>
          <w:szCs w:val="18"/>
        </w:rPr>
        <w:t>Université</w:t>
      </w:r>
      <w:proofErr w:type="spellEnd"/>
      <w:r w:rsidR="00245599" w:rsidRPr="00BE0AE9">
        <w:rPr>
          <w:sz w:val="18"/>
          <w:szCs w:val="18"/>
        </w:rPr>
        <w:t xml:space="preserve"> </w:t>
      </w:r>
      <w:proofErr w:type="spellStart"/>
      <w:r w:rsidR="00245599" w:rsidRPr="00BE0AE9">
        <w:rPr>
          <w:sz w:val="18"/>
          <w:szCs w:val="18"/>
        </w:rPr>
        <w:t>catholique</w:t>
      </w:r>
      <w:proofErr w:type="spellEnd"/>
      <w:r w:rsidR="00245599" w:rsidRPr="00BE0AE9">
        <w:rPr>
          <w:sz w:val="18"/>
          <w:szCs w:val="18"/>
        </w:rPr>
        <w:t xml:space="preserve"> de Louvain (UCL) Belgium. His research interests include </w:t>
      </w:r>
      <w:proofErr w:type="spellStart"/>
      <w:r w:rsidR="00245599" w:rsidRPr="00BE0AE9">
        <w:rPr>
          <w:sz w:val="18"/>
          <w:szCs w:val="18"/>
        </w:rPr>
        <w:t>Hydrogeophysics</w:t>
      </w:r>
      <w:proofErr w:type="spellEnd"/>
      <w:r w:rsidR="00245599" w:rsidRPr="00BE0AE9">
        <w:rPr>
          <w:sz w:val="18"/>
          <w:szCs w:val="18"/>
        </w:rPr>
        <w:t xml:space="preserve">, Electromagnetic modeling including antenna modeling, coupled </w:t>
      </w:r>
      <w:proofErr w:type="spellStart"/>
      <w:r w:rsidR="00245599" w:rsidRPr="00BE0AE9">
        <w:rPr>
          <w:sz w:val="18"/>
          <w:szCs w:val="18"/>
        </w:rPr>
        <w:t>hydrogeophysical</w:t>
      </w:r>
      <w:proofErr w:type="spellEnd"/>
      <w:r w:rsidR="00245599" w:rsidRPr="00BE0AE9">
        <w:rPr>
          <w:sz w:val="18"/>
          <w:szCs w:val="18"/>
        </w:rPr>
        <w:t xml:space="preserve"> inversion, soil hydrodynamics, digital soil mapping and remote sensing.</w:t>
      </w:r>
    </w:p>
    <w:p w:rsidR="00D111A1" w:rsidRPr="00BE0AE9" w:rsidRDefault="00D111A1" w:rsidP="00245599">
      <w:pPr>
        <w:jc w:val="both"/>
        <w:rPr>
          <w:sz w:val="18"/>
          <w:szCs w:val="18"/>
        </w:rPr>
      </w:pPr>
    </w:p>
    <w:p w:rsidR="00245599" w:rsidRPr="00BE0AE9" w:rsidRDefault="00D111A1" w:rsidP="00245599">
      <w:pPr>
        <w:jc w:val="both"/>
        <w:rPr>
          <w:sz w:val="18"/>
          <w:szCs w:val="18"/>
        </w:rPr>
      </w:pPr>
      <w:r w:rsidRPr="00BE0AE9">
        <w:rPr>
          <w:b/>
          <w:noProof/>
          <w:sz w:val="18"/>
          <w:szCs w:val="18"/>
        </w:rPr>
        <w:drawing>
          <wp:anchor distT="0" distB="0" distL="114300" distR="114300" simplePos="0" relativeHeight="251659264" behindDoc="0" locked="0" layoutInCell="1" allowOverlap="1">
            <wp:simplePos x="0" y="0"/>
            <wp:positionH relativeFrom="column">
              <wp:posOffset>19050</wp:posOffset>
            </wp:positionH>
            <wp:positionV relativeFrom="paragraph">
              <wp:posOffset>-828</wp:posOffset>
            </wp:positionV>
            <wp:extent cx="577298" cy="636104"/>
            <wp:effectExtent l="1905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77298" cy="636104"/>
                    </a:xfrm>
                    <a:prstGeom prst="rect">
                      <a:avLst/>
                    </a:prstGeom>
                    <a:noFill/>
                    <a:ln w="9525">
                      <a:noFill/>
                      <a:miter lim="800000"/>
                      <a:headEnd/>
                      <a:tailEnd/>
                    </a:ln>
                  </pic:spPr>
                </pic:pic>
              </a:graphicData>
            </a:graphic>
          </wp:anchor>
        </w:drawing>
      </w:r>
      <w:proofErr w:type="spellStart"/>
      <w:r w:rsidR="00245599" w:rsidRPr="00BE0AE9">
        <w:rPr>
          <w:b/>
          <w:sz w:val="18"/>
          <w:szCs w:val="18"/>
        </w:rPr>
        <w:t>Tapan</w:t>
      </w:r>
      <w:proofErr w:type="spellEnd"/>
      <w:r w:rsidR="00245599" w:rsidRPr="00BE0AE9">
        <w:rPr>
          <w:b/>
          <w:sz w:val="18"/>
          <w:szCs w:val="18"/>
        </w:rPr>
        <w:t xml:space="preserve"> </w:t>
      </w:r>
      <w:proofErr w:type="spellStart"/>
      <w:r w:rsidR="00245599" w:rsidRPr="00BE0AE9">
        <w:rPr>
          <w:b/>
          <w:sz w:val="18"/>
          <w:szCs w:val="18"/>
        </w:rPr>
        <w:t>Misra</w:t>
      </w:r>
      <w:proofErr w:type="spellEnd"/>
      <w:r w:rsidR="00245599" w:rsidRPr="00BE0AE9">
        <w:rPr>
          <w:sz w:val="18"/>
          <w:szCs w:val="18"/>
        </w:rPr>
        <w:t xml:space="preserve"> is the Deputy Director of Space Application Centre, </w:t>
      </w:r>
      <w:proofErr w:type="spellStart"/>
      <w:r w:rsidR="00245599" w:rsidRPr="00BE0AE9">
        <w:rPr>
          <w:sz w:val="18"/>
          <w:szCs w:val="18"/>
        </w:rPr>
        <w:t>Ahmedabad</w:t>
      </w:r>
      <w:proofErr w:type="spellEnd"/>
      <w:r w:rsidR="00245599" w:rsidRPr="00BE0AE9">
        <w:rPr>
          <w:sz w:val="18"/>
          <w:szCs w:val="18"/>
        </w:rPr>
        <w:t>. His research interest is development of SAR based sensors for various space missions of ISRO and development of algorithms for high resolution processing of microwave SAR imagery.</w:t>
      </w:r>
    </w:p>
    <w:p w:rsidR="00D111A1" w:rsidRPr="00BE0AE9" w:rsidRDefault="00D111A1" w:rsidP="00245599">
      <w:pPr>
        <w:jc w:val="both"/>
        <w:rPr>
          <w:sz w:val="18"/>
          <w:szCs w:val="18"/>
        </w:rPr>
      </w:pPr>
    </w:p>
    <w:p w:rsidR="00245599" w:rsidRPr="00BE0AE9" w:rsidRDefault="00D111A1" w:rsidP="00245599">
      <w:pPr>
        <w:jc w:val="both"/>
        <w:rPr>
          <w:sz w:val="18"/>
          <w:szCs w:val="18"/>
        </w:rPr>
      </w:pPr>
      <w:r w:rsidRPr="00BE0AE9">
        <w:rPr>
          <w:b/>
          <w:noProof/>
          <w:sz w:val="18"/>
          <w:szCs w:val="18"/>
        </w:rPr>
        <w:drawing>
          <wp:anchor distT="0" distB="0" distL="114300" distR="114300" simplePos="0" relativeHeight="251660288" behindDoc="0" locked="0" layoutInCell="1" allowOverlap="1">
            <wp:simplePos x="0" y="0"/>
            <wp:positionH relativeFrom="column">
              <wp:posOffset>19050</wp:posOffset>
            </wp:positionH>
            <wp:positionV relativeFrom="paragraph">
              <wp:posOffset>2927</wp:posOffset>
            </wp:positionV>
            <wp:extent cx="577298" cy="636104"/>
            <wp:effectExtent l="1905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77298" cy="636104"/>
                    </a:xfrm>
                    <a:prstGeom prst="rect">
                      <a:avLst/>
                    </a:prstGeom>
                    <a:noFill/>
                    <a:ln w="9525">
                      <a:noFill/>
                      <a:miter lim="800000"/>
                      <a:headEnd/>
                      <a:tailEnd/>
                    </a:ln>
                  </pic:spPr>
                </pic:pic>
              </a:graphicData>
            </a:graphic>
          </wp:anchor>
        </w:drawing>
      </w:r>
      <w:r w:rsidR="00245599" w:rsidRPr="00BE0AE9">
        <w:rPr>
          <w:b/>
          <w:sz w:val="18"/>
          <w:szCs w:val="18"/>
        </w:rPr>
        <w:t xml:space="preserve">Dr. </w:t>
      </w:r>
      <w:proofErr w:type="spellStart"/>
      <w:r w:rsidR="00245599" w:rsidRPr="00BE0AE9">
        <w:rPr>
          <w:b/>
          <w:sz w:val="18"/>
          <w:szCs w:val="18"/>
        </w:rPr>
        <w:t>Amitabha</w:t>
      </w:r>
      <w:proofErr w:type="spellEnd"/>
      <w:r w:rsidR="00245599" w:rsidRPr="00BE0AE9">
        <w:rPr>
          <w:b/>
          <w:sz w:val="18"/>
          <w:szCs w:val="18"/>
        </w:rPr>
        <w:t xml:space="preserve"> Bhattacharya</w:t>
      </w:r>
      <w:r w:rsidR="00245599" w:rsidRPr="00BE0AE9">
        <w:rPr>
          <w:sz w:val="18"/>
          <w:szCs w:val="18"/>
        </w:rPr>
        <w:t xml:space="preserve"> is an Associate Professor of Indian Institute of Technology, Kharagpur. His research interest is Microwave Imaging, High Power Microwaves and Microwave Stealth Technology.</w:t>
      </w:r>
    </w:p>
    <w:sectPr w:rsidR="00245599" w:rsidRPr="00BE0AE9" w:rsidSect="00BC78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adeGothic LT">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C3DE9"/>
    <w:multiLevelType w:val="hybridMultilevel"/>
    <w:tmpl w:val="92A431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EC4ECA"/>
    <w:multiLevelType w:val="hybridMultilevel"/>
    <w:tmpl w:val="AF82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E1E45"/>
    <w:rsid w:val="001E5C92"/>
    <w:rsid w:val="00245599"/>
    <w:rsid w:val="00283314"/>
    <w:rsid w:val="002D2FE5"/>
    <w:rsid w:val="00320324"/>
    <w:rsid w:val="00325ABE"/>
    <w:rsid w:val="004D749D"/>
    <w:rsid w:val="004E1E45"/>
    <w:rsid w:val="004E3CED"/>
    <w:rsid w:val="007020E5"/>
    <w:rsid w:val="00906CF9"/>
    <w:rsid w:val="00947662"/>
    <w:rsid w:val="00965B71"/>
    <w:rsid w:val="009B4C81"/>
    <w:rsid w:val="00BA175F"/>
    <w:rsid w:val="00BC7880"/>
    <w:rsid w:val="00BE0AE9"/>
    <w:rsid w:val="00BF69D6"/>
    <w:rsid w:val="00D111A1"/>
    <w:rsid w:val="00D23514"/>
    <w:rsid w:val="00D61071"/>
    <w:rsid w:val="00DC44D8"/>
    <w:rsid w:val="00E01D22"/>
    <w:rsid w:val="00F675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8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CED"/>
    <w:rPr>
      <w:rFonts w:ascii="Tahoma" w:hAnsi="Tahoma" w:cs="Tahoma"/>
      <w:sz w:val="16"/>
      <w:szCs w:val="16"/>
    </w:rPr>
  </w:style>
  <w:style w:type="table" w:styleId="TableGrid">
    <w:name w:val="Table Grid"/>
    <w:basedOn w:val="TableNormal"/>
    <w:uiPriority w:val="59"/>
    <w:rsid w:val="004E3C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E3C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1D59E-A5A3-4096-AF63-CB0C39080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JEE</cp:lastModifiedBy>
  <cp:revision>2</cp:revision>
  <dcterms:created xsi:type="dcterms:W3CDTF">2015-10-10T05:27:00Z</dcterms:created>
  <dcterms:modified xsi:type="dcterms:W3CDTF">2015-10-10T05:27:00Z</dcterms:modified>
</cp:coreProperties>
</file>